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296E" w:rsidRDefault="00D34F57">
      <w:pPr>
        <w:spacing w:line="360" w:lineRule="auto"/>
        <w:jc w:val="center"/>
        <w:rPr>
          <w:rFonts w:ascii="宋体" w:eastAsia="宋体" w:hAnsi="宋体"/>
          <w:b/>
          <w:sz w:val="28"/>
          <w:szCs w:val="28"/>
        </w:rPr>
      </w:pPr>
      <w:bookmarkStart w:id="0" w:name="_GoBack"/>
      <w:bookmarkEnd w:id="0"/>
      <w:r>
        <w:rPr>
          <w:rFonts w:ascii="宋体" w:eastAsia="宋体" w:hAnsi="宋体"/>
          <w:b/>
          <w:bCs/>
          <w:sz w:val="28"/>
          <w:szCs w:val="28"/>
        </w:rPr>
        <w:t>苏州钢领置业发展</w:t>
      </w:r>
      <w:r>
        <w:rPr>
          <w:rFonts w:ascii="宋体" w:eastAsia="宋体" w:hAnsi="宋体" w:hint="eastAsia"/>
          <w:b/>
          <w:bCs/>
          <w:sz w:val="28"/>
          <w:szCs w:val="28"/>
        </w:rPr>
        <w:t>有限公司</w:t>
      </w:r>
    </w:p>
    <w:p w:rsidR="0003296E" w:rsidRDefault="00D34F57">
      <w:pPr>
        <w:spacing w:line="360" w:lineRule="auto"/>
        <w:jc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债权申报须知</w:t>
      </w:r>
    </w:p>
    <w:p w:rsidR="0003296E" w:rsidRDefault="00D34F57">
      <w:pPr>
        <w:spacing w:line="360" w:lineRule="auto"/>
        <w:ind w:firstLineChars="200" w:firstLine="480"/>
        <w:rPr>
          <w:rFonts w:ascii="宋体" w:eastAsia="宋体" w:hAnsi="宋体"/>
        </w:rPr>
      </w:pPr>
      <w:r>
        <w:rPr>
          <w:rFonts w:ascii="宋体" w:eastAsia="宋体" w:hAnsi="宋体"/>
        </w:rPr>
        <w:t>201</w:t>
      </w:r>
      <w:r>
        <w:rPr>
          <w:rFonts w:ascii="宋体" w:eastAsia="宋体" w:hAnsi="宋体" w:hint="eastAsia"/>
        </w:rPr>
        <w:t>9年</w:t>
      </w:r>
      <w:r>
        <w:rPr>
          <w:rFonts w:ascii="宋体" w:eastAsia="宋体" w:hAnsi="宋体"/>
        </w:rPr>
        <w:t>12</w:t>
      </w:r>
      <w:r>
        <w:rPr>
          <w:rFonts w:ascii="宋体" w:eastAsia="宋体" w:hAnsi="宋体" w:hint="eastAsia"/>
        </w:rPr>
        <w:t>月</w:t>
      </w:r>
      <w:r>
        <w:rPr>
          <w:rFonts w:ascii="宋体" w:eastAsia="宋体" w:hAnsi="宋体"/>
        </w:rPr>
        <w:t>10</w:t>
      </w:r>
      <w:r>
        <w:rPr>
          <w:rFonts w:ascii="宋体" w:eastAsia="宋体" w:hAnsi="宋体" w:hint="eastAsia"/>
        </w:rPr>
        <w:t>日，经</w:t>
      </w:r>
      <w:r>
        <w:rPr>
          <w:rFonts w:ascii="宋体" w:eastAsia="宋体" w:hAnsi="宋体"/>
        </w:rPr>
        <w:t>上海海锋建设工程承包有限公司</w:t>
      </w:r>
      <w:r>
        <w:rPr>
          <w:rFonts w:ascii="宋体" w:eastAsia="宋体" w:hAnsi="宋体" w:hint="eastAsia"/>
        </w:rPr>
        <w:t>的申请，</w:t>
      </w:r>
      <w:r>
        <w:rPr>
          <w:rFonts w:ascii="宋体" w:eastAsia="宋体" w:hAnsi="宋体"/>
        </w:rPr>
        <w:t>江苏省太仓市</w:t>
      </w:r>
      <w:r>
        <w:rPr>
          <w:rFonts w:ascii="宋体" w:eastAsia="宋体" w:hAnsi="宋体" w:hint="eastAsia"/>
        </w:rPr>
        <w:t>人民法院作出（</w:t>
      </w:r>
      <w:r>
        <w:rPr>
          <w:rFonts w:ascii="宋体" w:eastAsia="宋体" w:hAnsi="宋体"/>
        </w:rPr>
        <w:t>201</w:t>
      </w:r>
      <w:r>
        <w:rPr>
          <w:rFonts w:ascii="宋体" w:eastAsia="宋体" w:hAnsi="宋体" w:hint="eastAsia"/>
        </w:rPr>
        <w:t>9）苏05</w:t>
      </w:r>
      <w:r>
        <w:rPr>
          <w:rFonts w:ascii="宋体" w:eastAsia="宋体" w:hAnsi="宋体"/>
        </w:rPr>
        <w:t>85</w:t>
      </w:r>
      <w:r>
        <w:rPr>
          <w:rFonts w:ascii="宋体" w:eastAsia="宋体" w:hAnsi="宋体" w:hint="eastAsia"/>
        </w:rPr>
        <w:t>破</w:t>
      </w:r>
      <w:r>
        <w:rPr>
          <w:rFonts w:ascii="宋体" w:eastAsia="宋体" w:hAnsi="宋体"/>
        </w:rPr>
        <w:t>申26</w:t>
      </w:r>
      <w:r>
        <w:rPr>
          <w:rFonts w:ascii="宋体" w:eastAsia="宋体" w:hAnsi="宋体" w:hint="eastAsia"/>
        </w:rPr>
        <w:t>号民事裁定书，裁定受理</w:t>
      </w:r>
      <w:r>
        <w:rPr>
          <w:rFonts w:ascii="宋体" w:eastAsia="宋体" w:hAnsi="宋体"/>
        </w:rPr>
        <w:t>苏州钢领置业发展有限公司</w:t>
      </w:r>
      <w:r>
        <w:rPr>
          <w:rFonts w:ascii="宋体" w:eastAsia="宋体" w:hAnsi="宋体" w:hint="eastAsia"/>
        </w:rPr>
        <w:t>破产清算一案，并指定</w:t>
      </w:r>
      <w:r>
        <w:rPr>
          <w:rFonts w:ascii="宋体" w:eastAsia="宋体" w:hAnsi="宋体"/>
        </w:rPr>
        <w:t>上会会计师事务所（特殊普通合伙）苏州分所</w:t>
      </w:r>
      <w:r>
        <w:rPr>
          <w:rFonts w:ascii="宋体" w:eastAsia="宋体" w:hAnsi="宋体" w:hint="eastAsia"/>
        </w:rPr>
        <w:t>担任管理人。为明确债权人及利害关系人在债权申报阶段之权利、义务，特告之如下几点：</w:t>
      </w:r>
    </w:p>
    <w:p w:rsidR="0003296E" w:rsidRDefault="00D34F57">
      <w:pPr>
        <w:spacing w:line="360" w:lineRule="auto"/>
        <w:ind w:firstLineChars="200" w:firstLine="48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一、</w:t>
      </w:r>
      <w:r>
        <w:rPr>
          <w:rFonts w:ascii="宋体" w:eastAsia="宋体" w:hAnsi="宋体"/>
        </w:rPr>
        <w:t>201</w:t>
      </w:r>
      <w:r>
        <w:rPr>
          <w:rFonts w:ascii="宋体" w:eastAsia="宋体" w:hAnsi="宋体" w:hint="eastAsia"/>
        </w:rPr>
        <w:t>9年</w:t>
      </w:r>
      <w:r>
        <w:rPr>
          <w:rFonts w:ascii="宋体" w:eastAsia="宋体" w:hAnsi="宋体"/>
        </w:rPr>
        <w:t>12</w:t>
      </w:r>
      <w:r>
        <w:rPr>
          <w:rFonts w:ascii="宋体" w:eastAsia="宋体" w:hAnsi="宋体" w:hint="eastAsia"/>
        </w:rPr>
        <w:t>月</w:t>
      </w:r>
      <w:r>
        <w:rPr>
          <w:rFonts w:ascii="宋体" w:eastAsia="宋体" w:hAnsi="宋体"/>
        </w:rPr>
        <w:t>16</w:t>
      </w:r>
      <w:r>
        <w:rPr>
          <w:rFonts w:ascii="宋体" w:eastAsia="宋体" w:hAnsi="宋体" w:hint="eastAsia"/>
        </w:rPr>
        <w:t>日，</w:t>
      </w:r>
      <w:r>
        <w:rPr>
          <w:rFonts w:ascii="宋体" w:eastAsia="宋体" w:hAnsi="宋体"/>
        </w:rPr>
        <w:t>太仓市人民法院</w:t>
      </w:r>
      <w:r>
        <w:rPr>
          <w:rFonts w:ascii="宋体" w:eastAsia="宋体" w:hAnsi="宋体" w:hint="eastAsia"/>
        </w:rPr>
        <w:t>发布了“受理</w:t>
      </w:r>
      <w:r>
        <w:rPr>
          <w:rFonts w:ascii="宋体" w:eastAsia="宋体" w:hAnsi="宋体"/>
        </w:rPr>
        <w:t>苏州钢领置业发展有限公司破产清算</w:t>
      </w:r>
      <w:r>
        <w:rPr>
          <w:rFonts w:ascii="宋体" w:eastAsia="宋体" w:hAnsi="宋体" w:hint="eastAsia"/>
        </w:rPr>
        <w:t>申请”的通知和公告。为保障债权人权益，债权人应当在</w:t>
      </w:r>
      <w:r>
        <w:rPr>
          <w:rFonts w:ascii="宋体" w:eastAsia="宋体" w:hAnsi="宋体"/>
        </w:rPr>
        <w:t>太仓市人民法院</w:t>
      </w:r>
      <w:r>
        <w:rPr>
          <w:rFonts w:ascii="宋体" w:eastAsia="宋体" w:hAnsi="宋体" w:hint="eastAsia"/>
        </w:rPr>
        <w:t>规定的申报期限内完成债权申报。</w:t>
      </w:r>
    </w:p>
    <w:p w:rsidR="0003296E" w:rsidRDefault="00D34F57">
      <w:pPr>
        <w:spacing w:line="360" w:lineRule="auto"/>
        <w:ind w:firstLineChars="200" w:firstLine="48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二、根据《企业破产法》的规定破产债权是指人民法院受理破产申请时对债务人享有的债权。</w:t>
      </w:r>
    </w:p>
    <w:p w:rsidR="0003296E" w:rsidRDefault="00D34F57">
      <w:pPr>
        <w:spacing w:line="360" w:lineRule="auto"/>
        <w:ind w:firstLineChars="200" w:firstLine="48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债权人在申报债权时应当注意以下几点：</w:t>
      </w:r>
    </w:p>
    <w:p w:rsidR="0003296E" w:rsidRDefault="00D34F57">
      <w:pPr>
        <w:spacing w:line="360" w:lineRule="auto"/>
        <w:ind w:firstLineChars="200" w:firstLine="48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⑴未到期的债权，在破产申请受理时视为债权到期；</w:t>
      </w:r>
    </w:p>
    <w:p w:rsidR="0003296E" w:rsidRDefault="00D34F57">
      <w:pPr>
        <w:spacing w:line="360" w:lineRule="auto"/>
        <w:ind w:firstLineChars="200" w:firstLine="48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⑵附利息的债权，自破产申请受理时起停止计息；</w:t>
      </w:r>
    </w:p>
    <w:p w:rsidR="0003296E" w:rsidRDefault="00D34F57">
      <w:pPr>
        <w:spacing w:line="360" w:lineRule="auto"/>
        <w:ind w:firstLineChars="200" w:firstLine="48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⑶附条件、附期限的债权和诉讼、仲裁未决的债权，债权人可以申报；</w:t>
      </w:r>
    </w:p>
    <w:p w:rsidR="0003296E" w:rsidRDefault="00D34F57">
      <w:pPr>
        <w:spacing w:line="360" w:lineRule="auto"/>
        <w:ind w:firstLineChars="200" w:firstLine="48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⑷ 债权人申报债权时，应当书面说明债权的数额和有无财产担保情况，并提交有关证据。申报的债权是连带债权的，应当说明；</w:t>
      </w:r>
    </w:p>
    <w:p w:rsidR="0003296E" w:rsidRDefault="00D34F57">
      <w:pPr>
        <w:spacing w:line="360" w:lineRule="auto"/>
        <w:ind w:firstLineChars="200" w:firstLine="48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⑸连带债权人可以由其中一人代表全体连带债权人申报债权，也可以共同申报债权；</w:t>
      </w:r>
    </w:p>
    <w:p w:rsidR="0003296E" w:rsidRDefault="00D34F57">
      <w:pPr>
        <w:spacing w:line="360" w:lineRule="auto"/>
        <w:ind w:firstLineChars="200" w:firstLine="48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⑹债务人的保证人或者其他连带债务人已经代替债务人清偿债务的，可就其对债务人的求偿权申报债权；</w:t>
      </w:r>
    </w:p>
    <w:p w:rsidR="0003296E" w:rsidRDefault="00D34F57">
      <w:pPr>
        <w:spacing w:line="360" w:lineRule="auto"/>
        <w:ind w:firstLineChars="200" w:firstLine="480"/>
        <w:rPr>
          <w:rFonts w:ascii="宋体" w:eastAsia="宋体" w:hAnsi="宋体"/>
        </w:rPr>
      </w:pPr>
      <w:r>
        <w:rPr>
          <w:rFonts w:ascii="宋体" w:eastAsia="宋体" w:hAnsi="宋体" w:hint="eastAsia"/>
        </w:rPr>
        <w:lastRenderedPageBreak/>
        <w:t>⑺债务人的保证人或者其他连带债务人尚未代替债务人清偿债务的，以其对债务人的将来求偿权申报债权。但债权人已经向管理人申报全部债权的除外；</w:t>
      </w:r>
    </w:p>
    <w:p w:rsidR="0003296E" w:rsidRDefault="00D34F57">
      <w:pPr>
        <w:spacing w:line="360" w:lineRule="auto"/>
        <w:ind w:firstLineChars="200" w:firstLine="48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⑻管理人依照《企业破产法》规定解除合同的，对方当事人以因合同解除所产生的损害赔偿请求权申报债权；</w:t>
      </w:r>
    </w:p>
    <w:p w:rsidR="0003296E" w:rsidRDefault="00D34F57">
      <w:pPr>
        <w:spacing w:line="360" w:lineRule="auto"/>
        <w:ind w:firstLineChars="200" w:firstLine="48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⑼债务人是委托合同的委托人，受托人不知该委托人破产受理的事实，继续处理委托事务的，受托人以由此产生的请求权申报债权；</w:t>
      </w:r>
    </w:p>
    <w:p w:rsidR="0003296E" w:rsidRDefault="00D34F57">
      <w:pPr>
        <w:spacing w:line="360" w:lineRule="auto"/>
        <w:ind w:firstLineChars="200" w:firstLine="48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⑽债务人是票据的出票人，被裁定破产受理的，该票据的付款人继续付款或者承兑的，付款人以由此产生的请求权申报债权</w:t>
      </w:r>
      <w:r w:rsidR="00D67AA0">
        <w:rPr>
          <w:rFonts w:ascii="宋体" w:eastAsia="宋体" w:hAnsi="宋体" w:hint="eastAsia"/>
        </w:rPr>
        <w:t>；</w:t>
      </w:r>
    </w:p>
    <w:p w:rsidR="0003296E" w:rsidRDefault="00D34F57">
      <w:pPr>
        <w:spacing w:line="360" w:lineRule="auto"/>
        <w:ind w:firstLineChars="200" w:firstLine="48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⑾法律规定其他可以申报的债权，债权人应当予以申报。</w:t>
      </w:r>
    </w:p>
    <w:p w:rsidR="0003296E" w:rsidRDefault="00D34F57">
      <w:pPr>
        <w:spacing w:line="360" w:lineRule="auto"/>
        <w:ind w:firstLineChars="200" w:firstLine="48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三、根据《企业破产法》规定，未申报或逾期申报债权的法律后果主要包括：</w:t>
      </w:r>
    </w:p>
    <w:p w:rsidR="0003296E" w:rsidRDefault="00D34F57">
      <w:pPr>
        <w:spacing w:line="360" w:lineRule="auto"/>
        <w:ind w:firstLineChars="200" w:firstLine="48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1、债权人未申报债权，不得依照《企业破产法》规定的程序行使权利。</w:t>
      </w:r>
    </w:p>
    <w:p w:rsidR="0003296E" w:rsidRDefault="00D34F57">
      <w:pPr>
        <w:spacing w:line="360" w:lineRule="auto"/>
        <w:ind w:firstLineChars="200" w:firstLine="48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2、债权人未按期申报，已分配的财产不对其补充分配。即使在破产财产最后分配前补充申报，此前已进行的分配仍不再补充分配，且债权人还应该承担因审查、确认补充债权的产生的相关费用。</w:t>
      </w:r>
    </w:p>
    <w:p w:rsidR="0003296E" w:rsidRDefault="00D34F57">
      <w:pPr>
        <w:spacing w:line="360" w:lineRule="auto"/>
        <w:ind w:firstLineChars="200" w:firstLine="48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3、如债务人进入重整程序，债权人未按期申报债权，在重整计划执行期间债权人不得行使权利；在重整计划执行完毕后，债权人可以按照重整计划规定的同类债权的清偿条件行使权利。</w:t>
      </w:r>
    </w:p>
    <w:p w:rsidR="0003296E" w:rsidRDefault="00D34F57">
      <w:pPr>
        <w:spacing w:line="360" w:lineRule="auto"/>
        <w:ind w:firstLineChars="200" w:firstLine="48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4、如债务人进入破产和解程序，债权人未按期申报债权，在和解协议计划执行期间债权人不得行使权利；债权人在和解协议执行完毕后，可以按照和解协议规定的清偿条件行使权利。</w:t>
      </w:r>
    </w:p>
    <w:p w:rsidR="0003296E" w:rsidRDefault="00D34F57">
      <w:pPr>
        <w:spacing w:line="360" w:lineRule="auto"/>
        <w:ind w:firstLineChars="200" w:firstLine="48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四、申报人应当如实、详细填写《债权申报表》以及提供真实有效和完整的申报材料。申报债权应提供如下材料：</w:t>
      </w:r>
    </w:p>
    <w:p w:rsidR="0003296E" w:rsidRDefault="00D34F57">
      <w:pPr>
        <w:spacing w:line="360" w:lineRule="auto"/>
        <w:ind w:firstLineChars="200" w:firstLine="480"/>
        <w:rPr>
          <w:rFonts w:ascii="宋体" w:eastAsia="宋体" w:hAnsi="宋体"/>
        </w:rPr>
      </w:pPr>
      <w:r>
        <w:rPr>
          <w:rFonts w:ascii="宋体" w:eastAsia="宋体" w:hAnsi="宋体" w:hint="eastAsia"/>
        </w:rPr>
        <w:lastRenderedPageBreak/>
        <w:t>1、《债权申报表》、《债权申报文件清单》一式两份、《债权人地址及联系方式确认书》；</w:t>
      </w:r>
    </w:p>
    <w:p w:rsidR="0003296E" w:rsidRDefault="00D34F57">
      <w:pPr>
        <w:spacing w:line="360" w:lineRule="auto"/>
        <w:ind w:firstLineChars="200" w:firstLine="48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2、（1）、债权人单位的营业执照复印件（加盖公章）、法定代表人身份证明书（原件）、法定代表人身份证复印件（签字确认）；（2）、债权人为自然人的，提供个人身份证明（复印件签字确认）；（3）、委托代理人申报的，授权委托书（原件）及被代理人和代理人身份证明（复印件签字确认）；</w:t>
      </w:r>
    </w:p>
    <w:p w:rsidR="0003296E" w:rsidRDefault="00D34F57">
      <w:pPr>
        <w:spacing w:line="360" w:lineRule="auto"/>
        <w:ind w:firstLineChars="200" w:firstLine="48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3、证明债权事实的相关证据材料。申报人应当以与证据原件核对无误的复印件申报，证据材料应当附证据清单并提交一式两份。（进入诉讼程序或仲裁程序的，同时提交法院或仲裁机构出具的相关法律文书）</w:t>
      </w:r>
    </w:p>
    <w:p w:rsidR="0003296E" w:rsidRDefault="00D34F57">
      <w:pPr>
        <w:spacing w:line="360" w:lineRule="auto"/>
        <w:ind w:firstLineChars="200" w:firstLine="48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五、填写表格需注意的问题</w:t>
      </w:r>
    </w:p>
    <w:p w:rsidR="0003296E" w:rsidRDefault="00D34F57">
      <w:pPr>
        <w:spacing w:line="360" w:lineRule="auto"/>
        <w:ind w:firstLineChars="200" w:firstLine="48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1、申报债权的金额：必须确定（同一家企业只能申报一个债权总额），外币必须换算成人民币计值，汇率以破产申请受理日人民银行公布的市场交易中间价为准（并请提交银行出具的汇率证明）；</w:t>
      </w:r>
    </w:p>
    <w:p w:rsidR="0003296E" w:rsidRDefault="00D34F57">
      <w:pPr>
        <w:spacing w:line="360" w:lineRule="auto"/>
        <w:ind w:firstLineChars="200" w:firstLine="48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2、利息债权：不超过破产申请受理日。</w:t>
      </w:r>
    </w:p>
    <w:p w:rsidR="0003296E" w:rsidRDefault="00D34F57">
      <w:pPr>
        <w:spacing w:line="360" w:lineRule="auto"/>
        <w:ind w:firstLineChars="200" w:firstLine="48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3、基本事实项：简要陈述该债权的形成经过，另外对已开票金额和未开票金额应填写清楚；若债权涉及合同关系则要写明该合同是否已经履行完毕 。</w:t>
      </w:r>
    </w:p>
    <w:p w:rsidR="0003296E" w:rsidRDefault="00D34F57">
      <w:pPr>
        <w:spacing w:line="360" w:lineRule="auto"/>
        <w:ind w:firstLineChars="200" w:firstLine="48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六、申报材料在</w:t>
      </w:r>
      <w:r>
        <w:rPr>
          <w:rFonts w:ascii="宋体" w:eastAsia="宋体" w:hAnsi="宋体" w:hint="eastAsia"/>
          <w:b/>
        </w:rPr>
        <w:t>20</w:t>
      </w:r>
      <w:r>
        <w:rPr>
          <w:rFonts w:ascii="宋体" w:eastAsia="宋体" w:hAnsi="宋体"/>
          <w:b/>
        </w:rPr>
        <w:t>20</w:t>
      </w:r>
      <w:r>
        <w:rPr>
          <w:rFonts w:ascii="宋体" w:eastAsia="宋体" w:hAnsi="宋体" w:hint="eastAsia"/>
          <w:b/>
        </w:rPr>
        <w:t>年</w:t>
      </w:r>
      <w:r>
        <w:rPr>
          <w:rFonts w:ascii="宋体" w:eastAsia="宋体" w:hAnsi="宋体"/>
          <w:b/>
        </w:rPr>
        <w:t>3</w:t>
      </w:r>
      <w:r>
        <w:rPr>
          <w:rFonts w:ascii="宋体" w:eastAsia="宋体" w:hAnsi="宋体" w:hint="eastAsia"/>
          <w:b/>
        </w:rPr>
        <w:t>月</w:t>
      </w:r>
      <w:r>
        <w:rPr>
          <w:rFonts w:ascii="宋体" w:eastAsia="宋体" w:hAnsi="宋体"/>
          <w:b/>
        </w:rPr>
        <w:t>25</w:t>
      </w:r>
      <w:r>
        <w:rPr>
          <w:rFonts w:ascii="宋体" w:eastAsia="宋体" w:hAnsi="宋体" w:hint="eastAsia"/>
          <w:b/>
        </w:rPr>
        <w:t>日</w:t>
      </w:r>
      <w:r>
        <w:rPr>
          <w:rFonts w:ascii="宋体" w:eastAsia="宋体" w:hAnsi="宋体" w:hint="eastAsia"/>
        </w:rPr>
        <w:t>前邮寄至“江苏省昆山市黑龙江北路88号四楼江苏六典律师事务所</w:t>
      </w:r>
      <w:r w:rsidR="009D7CB7">
        <w:rPr>
          <w:rFonts w:ascii="宋体" w:eastAsia="宋体" w:hAnsi="宋体" w:hint="eastAsia"/>
        </w:rPr>
        <w:t>尹勇</w:t>
      </w:r>
      <w:r>
        <w:rPr>
          <w:rFonts w:ascii="宋体" w:eastAsia="宋体" w:hAnsi="宋体" w:hint="eastAsia"/>
        </w:rPr>
        <w:t>收，联系电话：</w:t>
      </w:r>
      <w:r w:rsidR="009D7CB7">
        <w:rPr>
          <w:rFonts w:ascii="宋体" w:eastAsia="宋体" w:hAnsi="宋体"/>
        </w:rPr>
        <w:t>13776362836</w:t>
      </w:r>
      <w:r>
        <w:rPr>
          <w:rFonts w:ascii="宋体" w:eastAsia="宋体" w:hAnsi="宋体" w:hint="eastAsia"/>
        </w:rPr>
        <w:t>”，请在邮寄单注明“</w:t>
      </w:r>
      <w:r>
        <w:rPr>
          <w:rFonts w:ascii="宋体" w:eastAsia="宋体" w:hAnsi="宋体"/>
        </w:rPr>
        <w:t>苏州钢领置业发展</w:t>
      </w:r>
      <w:r>
        <w:rPr>
          <w:rFonts w:ascii="宋体" w:eastAsia="宋体" w:hAnsi="宋体" w:hint="eastAsia"/>
        </w:rPr>
        <w:t>有限公司债权申报”字样，并注意保留邮件寄送底单。申报人应当严格遵守申报秩序，服从管理人工作人员的安排，有序申报。</w:t>
      </w:r>
    </w:p>
    <w:p w:rsidR="0003296E" w:rsidRDefault="00D34F57">
      <w:pPr>
        <w:spacing w:line="360" w:lineRule="auto"/>
        <w:ind w:firstLineChars="1750" w:firstLine="4200"/>
        <w:rPr>
          <w:rFonts w:ascii="宋体" w:eastAsia="宋体" w:hAnsi="宋体"/>
        </w:rPr>
      </w:pPr>
      <w:r>
        <w:rPr>
          <w:rFonts w:ascii="宋体" w:eastAsia="宋体" w:hAnsi="宋体"/>
        </w:rPr>
        <w:t>苏州钢领置业发展</w:t>
      </w:r>
      <w:r>
        <w:rPr>
          <w:rFonts w:ascii="宋体" w:eastAsia="宋体" w:hAnsi="宋体" w:hint="eastAsia"/>
        </w:rPr>
        <w:t>有限公司管理人</w:t>
      </w:r>
    </w:p>
    <w:p w:rsidR="0003296E" w:rsidRDefault="009D7CB7">
      <w:pPr>
        <w:spacing w:line="360" w:lineRule="auto"/>
        <w:ind w:firstLineChars="2050" w:firstLine="4920"/>
        <w:rPr>
          <w:rFonts w:ascii="宋体" w:eastAsia="宋体" w:hAnsi="宋体"/>
        </w:rPr>
      </w:pPr>
      <w:r>
        <w:rPr>
          <w:rFonts w:ascii="宋体" w:eastAsia="宋体" w:hAnsi="宋体"/>
        </w:rPr>
        <w:t>2020</w:t>
      </w:r>
      <w:r w:rsidR="00D34F57">
        <w:rPr>
          <w:rFonts w:ascii="宋体" w:eastAsia="宋体" w:hAnsi="宋体" w:hint="eastAsia"/>
        </w:rPr>
        <w:t>年</w:t>
      </w:r>
      <w:r>
        <w:rPr>
          <w:rFonts w:ascii="宋体" w:eastAsia="宋体" w:hAnsi="宋体"/>
        </w:rPr>
        <w:t>1</w:t>
      </w:r>
      <w:r w:rsidR="00D34F57">
        <w:rPr>
          <w:rFonts w:ascii="宋体" w:eastAsia="宋体" w:hAnsi="宋体" w:hint="eastAsia"/>
        </w:rPr>
        <w:t>月</w:t>
      </w:r>
      <w:r>
        <w:rPr>
          <w:rFonts w:ascii="宋体" w:eastAsia="宋体" w:hAnsi="宋体"/>
        </w:rPr>
        <w:t xml:space="preserve">  </w:t>
      </w:r>
      <w:r w:rsidR="00D34F57">
        <w:rPr>
          <w:rFonts w:ascii="宋体" w:eastAsia="宋体" w:hAnsi="宋体" w:hint="eastAsia"/>
        </w:rPr>
        <w:t>日    </w:t>
      </w:r>
    </w:p>
    <w:sectPr w:rsidR="0003296E">
      <w:footerReference w:type="even" r:id="rId7"/>
      <w:footerReference w:type="default" r:id="rId8"/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68AC" w:rsidRDefault="008868AC">
      <w:r>
        <w:separator/>
      </w:r>
    </w:p>
  </w:endnote>
  <w:endnote w:type="continuationSeparator" w:id="0">
    <w:p w:rsidR="008868AC" w:rsidRDefault="00886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9"/>
      </w:rPr>
      <w:id w:val="531153371"/>
    </w:sdtPr>
    <w:sdtEndPr>
      <w:rPr>
        <w:rStyle w:val="a9"/>
      </w:rPr>
    </w:sdtEndPr>
    <w:sdtContent>
      <w:p w:rsidR="0003296E" w:rsidRDefault="00D34F57">
        <w:pPr>
          <w:pStyle w:val="a5"/>
          <w:framePr w:wrap="around" w:vAnchor="text" w:hAnchor="margin" w:xAlign="center" w:y="1"/>
          <w:rPr>
            <w:rStyle w:val="a9"/>
          </w:rPr>
        </w:pPr>
        <w:r>
          <w:rPr>
            <w:rStyle w:val="a9"/>
          </w:rPr>
          <w:fldChar w:fldCharType="begin"/>
        </w:r>
        <w:r>
          <w:rPr>
            <w:rStyle w:val="a9"/>
          </w:rPr>
          <w:instrText xml:space="preserve"> PAGE </w:instrText>
        </w:r>
        <w:r>
          <w:rPr>
            <w:rStyle w:val="a9"/>
          </w:rPr>
          <w:fldChar w:fldCharType="end"/>
        </w:r>
      </w:p>
    </w:sdtContent>
  </w:sdt>
  <w:p w:rsidR="0003296E" w:rsidRDefault="0003296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9"/>
      </w:rPr>
      <w:id w:val="1249620565"/>
    </w:sdtPr>
    <w:sdtEndPr>
      <w:rPr>
        <w:rStyle w:val="a9"/>
      </w:rPr>
    </w:sdtEndPr>
    <w:sdtContent>
      <w:p w:rsidR="0003296E" w:rsidRDefault="00D34F57">
        <w:pPr>
          <w:pStyle w:val="a5"/>
          <w:framePr w:wrap="around" w:vAnchor="text" w:hAnchor="margin" w:xAlign="center" w:y="1"/>
          <w:rPr>
            <w:rStyle w:val="a9"/>
          </w:rPr>
        </w:pPr>
        <w:r>
          <w:rPr>
            <w:rStyle w:val="a9"/>
          </w:rPr>
          <w:fldChar w:fldCharType="begin"/>
        </w:r>
        <w:r>
          <w:rPr>
            <w:rStyle w:val="a9"/>
          </w:rPr>
          <w:instrText xml:space="preserve"> PAGE </w:instrText>
        </w:r>
        <w:r>
          <w:rPr>
            <w:rStyle w:val="a9"/>
          </w:rPr>
          <w:fldChar w:fldCharType="separate"/>
        </w:r>
        <w:r>
          <w:rPr>
            <w:rStyle w:val="a9"/>
          </w:rPr>
          <w:t>3</w:t>
        </w:r>
        <w:r>
          <w:rPr>
            <w:rStyle w:val="a9"/>
          </w:rPr>
          <w:fldChar w:fldCharType="end"/>
        </w:r>
      </w:p>
    </w:sdtContent>
  </w:sdt>
  <w:p w:rsidR="0003296E" w:rsidRDefault="0003296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68AC" w:rsidRDefault="008868AC">
      <w:r>
        <w:separator/>
      </w:r>
    </w:p>
  </w:footnote>
  <w:footnote w:type="continuationSeparator" w:id="0">
    <w:p w:rsidR="008868AC" w:rsidRDefault="008868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trackRevisions/>
  <w:defaultTabStop w:val="42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046"/>
    <w:rsid w:val="CEBFABCA"/>
    <w:rsid w:val="0003296E"/>
    <w:rsid w:val="001122B4"/>
    <w:rsid w:val="00301F5B"/>
    <w:rsid w:val="00304046"/>
    <w:rsid w:val="003B6866"/>
    <w:rsid w:val="003F0F2C"/>
    <w:rsid w:val="00537CC5"/>
    <w:rsid w:val="00547569"/>
    <w:rsid w:val="00663FC0"/>
    <w:rsid w:val="0071442D"/>
    <w:rsid w:val="00744E6D"/>
    <w:rsid w:val="008163BC"/>
    <w:rsid w:val="008868AC"/>
    <w:rsid w:val="00905023"/>
    <w:rsid w:val="009148B5"/>
    <w:rsid w:val="00954AC6"/>
    <w:rsid w:val="0098355B"/>
    <w:rsid w:val="009D7CB7"/>
    <w:rsid w:val="00A27814"/>
    <w:rsid w:val="00A328CD"/>
    <w:rsid w:val="00A441AA"/>
    <w:rsid w:val="00AB0F6D"/>
    <w:rsid w:val="00AB6A6E"/>
    <w:rsid w:val="00AD5F92"/>
    <w:rsid w:val="00B0657D"/>
    <w:rsid w:val="00B246F4"/>
    <w:rsid w:val="00B24BBB"/>
    <w:rsid w:val="00BA551F"/>
    <w:rsid w:val="00C37BE1"/>
    <w:rsid w:val="00D34F57"/>
    <w:rsid w:val="00D67AA0"/>
    <w:rsid w:val="00E272F2"/>
    <w:rsid w:val="00E71B45"/>
    <w:rsid w:val="00E84E70"/>
    <w:rsid w:val="00F217A7"/>
    <w:rsid w:val="00F246A0"/>
    <w:rsid w:val="0FEF5FF3"/>
    <w:rsid w:val="2CDE05D6"/>
    <w:rsid w:val="301365C2"/>
    <w:rsid w:val="33B5B2C3"/>
    <w:rsid w:val="3D0F2E4F"/>
    <w:rsid w:val="49FF773A"/>
    <w:rsid w:val="717A5654"/>
    <w:rsid w:val="7359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2767"/>
  <w15:docId w15:val="{37D04109-B902-F048-8987-4E26EF78A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 w:qFormat="1"/>
    <w:lsdException w:name="Table Grid" w:uiPriority="39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rFonts w:ascii="宋体" w:eastAsia="宋体"/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uiPriority w:val="99"/>
    <w:unhideWhenUsed/>
    <w:qFormat/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paragraph" w:customStyle="1" w:styleId="1">
    <w:name w:val="修订1"/>
    <w:hidden/>
    <w:uiPriority w:val="99"/>
    <w:semiHidden/>
    <w:qFormat/>
    <w:rPr>
      <w:kern w:val="2"/>
      <w:sz w:val="24"/>
      <w:szCs w:val="24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宋体"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269</Words>
  <Characters>1538</Characters>
  <Application>Microsoft Office Word</Application>
  <DocSecurity>0</DocSecurity>
  <Lines>12</Lines>
  <Paragraphs>3</Paragraphs>
  <ScaleCrop>false</ScaleCrop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用户</dc:creator>
  <cp:lastModifiedBy>宏武 褚</cp:lastModifiedBy>
  <cp:revision>12</cp:revision>
  <cp:lastPrinted>2019-11-19T11:34:00Z</cp:lastPrinted>
  <dcterms:created xsi:type="dcterms:W3CDTF">2018-03-09T15:31:00Z</dcterms:created>
  <dcterms:modified xsi:type="dcterms:W3CDTF">2020-03-16T08:40:00Z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2052-1.8.2.2861</vt:lpwstr>
  </property>
</Properties>
</file>